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60B" w:rsidRDefault="0084360B" w:rsidP="0084360B">
      <w:pPr>
        <w:jc w:val="center"/>
        <w:rPr>
          <w:b/>
          <w:sz w:val="24"/>
          <w:szCs w:val="24"/>
        </w:rPr>
      </w:pPr>
      <w:r>
        <w:rPr>
          <w:b/>
          <w:sz w:val="24"/>
          <w:szCs w:val="24"/>
        </w:rPr>
        <w:t xml:space="preserve">KLASIFIKAČNÍ KRITÉRIA </w:t>
      </w:r>
      <w:proofErr w:type="spellStart"/>
      <w:r>
        <w:rPr>
          <w:b/>
          <w:sz w:val="24"/>
          <w:szCs w:val="24"/>
        </w:rPr>
        <w:t>MZ</w:t>
      </w:r>
      <w:proofErr w:type="spellEnd"/>
      <w:r>
        <w:rPr>
          <w:b/>
          <w:sz w:val="24"/>
          <w:szCs w:val="24"/>
        </w:rPr>
        <w:t xml:space="preserve"> PRO ZÁKLADY SPOLEČENSKÝCH VĚD</w:t>
      </w:r>
    </w:p>
    <w:p w:rsidR="0084360B" w:rsidRDefault="0084360B" w:rsidP="0084360B">
      <w:pPr>
        <w:jc w:val="both"/>
      </w:pPr>
    </w:p>
    <w:p w:rsidR="009706F9" w:rsidRDefault="0084360B" w:rsidP="0084360B">
      <w:pPr>
        <w:jc w:val="both"/>
      </w:pPr>
      <w:r>
        <w:t>Maturitní zkouška ze základů společenských věd má ústní podobu. Žák si vylosuje 1 z 25 maturitních otázek. Při ústním zkoušení</w:t>
      </w:r>
      <w:r w:rsidR="00552FD9">
        <w:t xml:space="preserve"> maturant</w:t>
      </w:r>
      <w:r>
        <w:t xml:space="preserve"> prokazuje odborné znalosti v dané oblasti, používá relevantní odborné pojmy, je schopen reagovat na dílčí otázky a vést dialog k tématu, logicky a věcně argumentuje. </w:t>
      </w:r>
    </w:p>
    <w:p w:rsidR="00590CA6" w:rsidRDefault="0084360B" w:rsidP="0084360B">
      <w:pPr>
        <w:jc w:val="both"/>
      </w:pPr>
      <w:r>
        <w:t xml:space="preserve">Základem hodnocení je ústní zkoušení vylosované </w:t>
      </w:r>
      <w:r w:rsidR="00590CA6">
        <w:t>maturitní otázky.</w:t>
      </w:r>
    </w:p>
    <w:p w:rsidR="0084360B" w:rsidRDefault="0084360B" w:rsidP="0084360B">
      <w:pPr>
        <w:jc w:val="both"/>
        <w:rPr>
          <w:b/>
        </w:rPr>
      </w:pPr>
      <w:r>
        <w:rPr>
          <w:b/>
        </w:rPr>
        <w:t>KRITÉRIA HODNOCENÍ</w:t>
      </w:r>
      <w:r w:rsidR="00552FD9">
        <w:rPr>
          <w:b/>
        </w:rPr>
        <w:t xml:space="preserve"> </w:t>
      </w:r>
    </w:p>
    <w:p w:rsidR="0084360B" w:rsidRDefault="0084360B" w:rsidP="0084360B">
      <w:pPr>
        <w:jc w:val="both"/>
      </w:pPr>
      <w:r>
        <w:rPr>
          <w:b/>
        </w:rPr>
        <w:t xml:space="preserve">Výborný – </w:t>
      </w:r>
      <w:r>
        <w:t>žák samostatně vykládá danou problematiku, orientuje se v jejích základních otázkách.  Uvažuje ve vzájemných souvislostech, bez problémů reaguje na dílčí otázky, aktivně vede dialog se zkoušejícím</w:t>
      </w:r>
      <w:r w:rsidR="002D35E5">
        <w:t xml:space="preserve"> </w:t>
      </w:r>
      <w:r>
        <w:t>učitelem. Abstraktní myšlenky dokáže kriticky nahlédnout a uvést na praktických příkladech. Celkově se vyjadřuje v odpovídající odborné terminologii, hovoří souvisle, samostatně, srozumitelně a až na výjimky věcně správně.</w:t>
      </w:r>
    </w:p>
    <w:p w:rsidR="0084360B" w:rsidRDefault="0084360B" w:rsidP="0084360B">
      <w:pPr>
        <w:jc w:val="both"/>
      </w:pPr>
      <w:r>
        <w:rPr>
          <w:b/>
        </w:rPr>
        <w:t xml:space="preserve">Chvalitebný – </w:t>
      </w:r>
      <w:r>
        <w:t>žák vykládá danou problematiku s občasnou pomocí zkoušejícího učitele, orientuje se však v základních otázkách a v daném oboru.  Dokáže nalézt vzájemné souvislosti, s menšími problémy reaguje na dílčí otázky, je schopen vést dialog s učitelem. Abstraktní myšlenky dokáže uvést na praktických příkladech. S dílčími nedostatky se vyjadřuje v odborné terminologii, hovoří však většinou samostatně, srozumitelně a převážně věcně správně.</w:t>
      </w:r>
    </w:p>
    <w:p w:rsidR="0084360B" w:rsidRDefault="0084360B" w:rsidP="0084360B">
      <w:pPr>
        <w:jc w:val="both"/>
      </w:pPr>
      <w:r>
        <w:rPr>
          <w:b/>
        </w:rPr>
        <w:t xml:space="preserve">Dobrý – </w:t>
      </w:r>
      <w:r>
        <w:t>žák je fakticky připraven alespoň v základech. V dialogu s pomocí zkoušejícího učitele je schopen vyložit základní fakta, nalézt vzájemné souvislosti, uvést věcné příklady, odvodit analogicky některé další informace. Po celou dobu zkoušky spoléhá na pomoc zkoušejícího učitele, není schopen samostatně vykládat ani argumentovat, odborná terminologie i věcné hledisko vykazuje větší nedostatky, hovoří nesamostatně a méně srozumitelně.</w:t>
      </w:r>
    </w:p>
    <w:p w:rsidR="0084360B" w:rsidRDefault="0084360B" w:rsidP="0084360B">
      <w:pPr>
        <w:jc w:val="both"/>
      </w:pPr>
      <w:r>
        <w:rPr>
          <w:b/>
        </w:rPr>
        <w:t xml:space="preserve">Dostatečný – </w:t>
      </w:r>
      <w:r>
        <w:t>žák zvládá jen nejzákladnější fakta a souvislosti. Společenskovědním teoriím, otázkám a pojmům převážně nerozumí, nedokáže je využít v jiném kontextu nebo je samostatně interpretovat. Většinou není ani schopen analogicky odvodit praktické příklady.  Nemluví sám, odpovídá na otázky zkoušejícího váhavě, s velkými problémy a s věcnými chybami.  Po celou dobu zkoušky však projevuje velkou snahu.</w:t>
      </w:r>
    </w:p>
    <w:p w:rsidR="0084360B" w:rsidRDefault="0084360B" w:rsidP="0084360B">
      <w:pPr>
        <w:jc w:val="both"/>
      </w:pPr>
      <w:r>
        <w:rPr>
          <w:b/>
        </w:rPr>
        <w:t xml:space="preserve">Nedostatečný – </w:t>
      </w:r>
      <w:r>
        <w:t>žák neovládá ani nejzákladnější fakta a pojmy. Neorientuje se v otázce ani v daném vědním oboru, nedokáže nalézt žádné souvislosti. Ve výpovědi je zcela nesamostatný a neprojevuje snahu.</w:t>
      </w:r>
    </w:p>
    <w:p w:rsidR="00552FD9" w:rsidRDefault="00552FD9" w:rsidP="0084360B">
      <w:pPr>
        <w:jc w:val="both"/>
      </w:pPr>
    </w:p>
    <w:p w:rsidR="00C57A97" w:rsidRDefault="0084360B" w:rsidP="0084360B">
      <w:pPr>
        <w:jc w:val="both"/>
      </w:pPr>
      <w:bookmarkStart w:id="0" w:name="_GoBack"/>
      <w:bookmarkEnd w:id="0"/>
      <w:r>
        <w:t>Zpracovala: Mgr. Tereza Švadlenová</w:t>
      </w:r>
    </w:p>
    <w:sectPr w:rsidR="00C57A97" w:rsidSect="00615E3A">
      <w:headerReference w:type="default" r:id="rId6"/>
      <w:pgSz w:w="11906" w:h="16838"/>
      <w:pgMar w:top="1417"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75C" w:rsidRDefault="0042475C" w:rsidP="0084360B">
      <w:pPr>
        <w:spacing w:after="0" w:line="240" w:lineRule="auto"/>
      </w:pPr>
      <w:r>
        <w:separator/>
      </w:r>
    </w:p>
  </w:endnote>
  <w:endnote w:type="continuationSeparator" w:id="0">
    <w:p w:rsidR="0042475C" w:rsidRDefault="0042475C" w:rsidP="00843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harter BT">
    <w:altName w:val="Times New Roman"/>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75C" w:rsidRDefault="0042475C" w:rsidP="0084360B">
      <w:pPr>
        <w:spacing w:after="0" w:line="240" w:lineRule="auto"/>
      </w:pPr>
      <w:r>
        <w:separator/>
      </w:r>
    </w:p>
  </w:footnote>
  <w:footnote w:type="continuationSeparator" w:id="0">
    <w:p w:rsidR="0042475C" w:rsidRDefault="0042475C" w:rsidP="008436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E3A" w:rsidRPr="008725F9" w:rsidRDefault="004826EA" w:rsidP="00615E3A">
    <w:pPr>
      <w:spacing w:after="0"/>
      <w:jc w:val="center"/>
      <w:rPr>
        <w:rFonts w:ascii="Footlight MT Light" w:hAnsi="Footlight MT Light"/>
        <w:sz w:val="16"/>
        <w:szCs w:val="16"/>
      </w:rPr>
    </w:pPr>
    <w:r>
      <w:rPr>
        <w:noProof/>
        <w:lang w:eastAsia="cs-CZ"/>
      </w:rPr>
      <w:drawing>
        <wp:anchor distT="0" distB="0" distL="114300" distR="114300" simplePos="0" relativeHeight="251659264" behindDoc="0" locked="0" layoutInCell="0" allowOverlap="1" wp14:anchorId="5EEF63AC" wp14:editId="20CF9B4C">
          <wp:simplePos x="0" y="0"/>
          <wp:positionH relativeFrom="column">
            <wp:posOffset>48895</wp:posOffset>
          </wp:positionH>
          <wp:positionV relativeFrom="paragraph">
            <wp:posOffset>-151130</wp:posOffset>
          </wp:positionV>
          <wp:extent cx="689610" cy="557530"/>
          <wp:effectExtent l="0" t="0" r="0" b="0"/>
          <wp:wrapTopAndBottom/>
          <wp:docPr id="1" name="Obrázek 1" descr="G2_ts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_tsg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 cy="55753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8725F9">
      <w:rPr>
        <w:rFonts w:ascii="Charter BT" w:hAnsi="Charter BT"/>
        <w:b/>
        <w:caps/>
        <w:sz w:val="16"/>
        <w:szCs w:val="16"/>
      </w:rPr>
      <w:t xml:space="preserve">TÁBORSKÉ SOUKROMÉ GYMNÁZIUM a základní škola, </w:t>
    </w:r>
    <w:r w:rsidRPr="008725F9">
      <w:rPr>
        <w:rFonts w:ascii="Charter BT" w:hAnsi="Charter BT"/>
        <w:b/>
        <w:sz w:val="16"/>
        <w:szCs w:val="16"/>
      </w:rPr>
      <w:t>s. r. o.</w:t>
    </w:r>
  </w:p>
  <w:p w:rsidR="00615E3A" w:rsidRPr="008725F9" w:rsidRDefault="004826EA" w:rsidP="00615E3A">
    <w:pPr>
      <w:spacing w:after="0"/>
      <w:jc w:val="center"/>
      <w:rPr>
        <w:rFonts w:ascii="Charter BT" w:hAnsi="Charter BT"/>
        <w:b/>
        <w:sz w:val="16"/>
        <w:szCs w:val="16"/>
      </w:rPr>
    </w:pPr>
    <w:proofErr w:type="spellStart"/>
    <w:r w:rsidRPr="008725F9">
      <w:rPr>
        <w:rFonts w:ascii="Charter BT" w:hAnsi="Charter BT"/>
        <w:b/>
        <w:sz w:val="16"/>
        <w:szCs w:val="16"/>
      </w:rPr>
      <w:t>Zavadilská</w:t>
    </w:r>
    <w:proofErr w:type="spellEnd"/>
    <w:r w:rsidRPr="008725F9">
      <w:rPr>
        <w:rFonts w:ascii="Charter BT" w:hAnsi="Charter BT"/>
        <w:b/>
        <w:sz w:val="16"/>
        <w:szCs w:val="16"/>
      </w:rPr>
      <w:t xml:space="preserve"> 2472, 390 02 Tábor</w:t>
    </w:r>
  </w:p>
  <w:p w:rsidR="00615E3A" w:rsidRPr="008725F9" w:rsidRDefault="0042475C" w:rsidP="00615E3A">
    <w:pPr>
      <w:spacing w:after="0"/>
      <w:jc w:val="center"/>
      <w:rPr>
        <w:rFonts w:ascii="Charter BT" w:hAnsi="Charter BT"/>
        <w:b/>
        <w:sz w:val="16"/>
        <w:szCs w:val="16"/>
      </w:rPr>
    </w:pPr>
    <w:hyperlink r:id="rId2" w:history="1">
      <w:proofErr w:type="spellStart"/>
      <w:r w:rsidR="004826EA" w:rsidRPr="008725F9">
        <w:rPr>
          <w:rStyle w:val="Hypertextovodkaz"/>
          <w:rFonts w:ascii="Charter BT" w:hAnsi="Charter BT"/>
          <w:b/>
          <w:sz w:val="16"/>
          <w:szCs w:val="16"/>
        </w:rPr>
        <w:t>www.tabsg.cz</w:t>
      </w:r>
      <w:proofErr w:type="spellEnd"/>
    </w:hyperlink>
  </w:p>
  <w:p w:rsidR="00615E3A" w:rsidRDefault="0042475C" w:rsidP="00615E3A">
    <w:pPr>
      <w:pStyle w:val="Zhlav"/>
      <w:jc w:val="center"/>
      <w:rPr>
        <w:b/>
      </w:rPr>
    </w:pPr>
  </w:p>
  <w:p w:rsidR="00615E3A" w:rsidRPr="008725F9" w:rsidRDefault="004826EA" w:rsidP="00615E3A">
    <w:pPr>
      <w:pStyle w:val="Zhlav"/>
      <w:jc w:val="center"/>
      <w:rPr>
        <w:b/>
      </w:rPr>
    </w:pPr>
    <w:r w:rsidRPr="008725F9">
      <w:rPr>
        <w:b/>
      </w:rPr>
      <w:t xml:space="preserve">M A T U R I T Y </w:t>
    </w:r>
    <w:r>
      <w:rPr>
        <w:b/>
      </w:rPr>
      <w:t xml:space="preserve"> </w:t>
    </w:r>
    <w:r w:rsidRPr="008725F9">
      <w:rPr>
        <w:b/>
      </w:rPr>
      <w:t xml:space="preserve"> 2</w:t>
    </w:r>
    <w:r>
      <w:rPr>
        <w:b/>
      </w:rPr>
      <w:t xml:space="preserve"> </w:t>
    </w:r>
    <w:r w:rsidRPr="008725F9">
      <w:rPr>
        <w:b/>
      </w:rPr>
      <w:t>0</w:t>
    </w:r>
    <w:r>
      <w:rPr>
        <w:b/>
      </w:rPr>
      <w:t xml:space="preserve"> </w:t>
    </w:r>
    <w:r w:rsidRPr="008725F9">
      <w:rPr>
        <w:b/>
      </w:rPr>
      <w:t>2</w:t>
    </w:r>
    <w:r>
      <w:rPr>
        <w:b/>
      </w:rPr>
      <w:t xml:space="preserve"> </w:t>
    </w:r>
    <w:r w:rsidR="00590CA6">
      <w:rPr>
        <w:b/>
      </w:rPr>
      <w:t>5</w:t>
    </w:r>
  </w:p>
  <w:p w:rsidR="00615E3A" w:rsidRDefault="0042475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60B"/>
    <w:rsid w:val="000C0642"/>
    <w:rsid w:val="002D35E5"/>
    <w:rsid w:val="003E7465"/>
    <w:rsid w:val="0042475C"/>
    <w:rsid w:val="004826EA"/>
    <w:rsid w:val="004F6A51"/>
    <w:rsid w:val="00552FD9"/>
    <w:rsid w:val="00562A93"/>
    <w:rsid w:val="00584563"/>
    <w:rsid w:val="00590CA6"/>
    <w:rsid w:val="0084360B"/>
    <w:rsid w:val="008B7055"/>
    <w:rsid w:val="008C1605"/>
    <w:rsid w:val="009706F9"/>
    <w:rsid w:val="009A62D6"/>
    <w:rsid w:val="00A46741"/>
    <w:rsid w:val="00B37E94"/>
    <w:rsid w:val="00B404E0"/>
    <w:rsid w:val="00B72516"/>
    <w:rsid w:val="00BA1ADF"/>
    <w:rsid w:val="00C57A97"/>
    <w:rsid w:val="00D50E3E"/>
    <w:rsid w:val="00E96A1C"/>
    <w:rsid w:val="00EF2D94"/>
    <w:rsid w:val="00EF2F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B406B"/>
  <w15:chartTrackingRefBased/>
  <w15:docId w15:val="{14395B9B-490D-437D-9E8D-57785B2D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4360B"/>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4360B"/>
    <w:pPr>
      <w:tabs>
        <w:tab w:val="center" w:pos="4536"/>
        <w:tab w:val="right" w:pos="9072"/>
      </w:tabs>
      <w:spacing w:after="0" w:line="240" w:lineRule="auto"/>
    </w:pPr>
  </w:style>
  <w:style w:type="character" w:customStyle="1" w:styleId="ZhlavChar">
    <w:name w:val="Záhlaví Char"/>
    <w:basedOn w:val="Standardnpsmoodstavce"/>
    <w:link w:val="Zhlav"/>
    <w:rsid w:val="0084360B"/>
  </w:style>
  <w:style w:type="character" w:styleId="Hypertextovodkaz">
    <w:name w:val="Hyperlink"/>
    <w:basedOn w:val="Standardnpsmoodstavce"/>
    <w:uiPriority w:val="99"/>
    <w:unhideWhenUsed/>
    <w:rsid w:val="0084360B"/>
    <w:rPr>
      <w:color w:val="0563C1" w:themeColor="hyperlink"/>
      <w:u w:val="single"/>
    </w:rPr>
  </w:style>
  <w:style w:type="paragraph" w:styleId="Zpat">
    <w:name w:val="footer"/>
    <w:basedOn w:val="Normln"/>
    <w:link w:val="ZpatChar"/>
    <w:uiPriority w:val="99"/>
    <w:unhideWhenUsed/>
    <w:rsid w:val="0084360B"/>
    <w:pPr>
      <w:tabs>
        <w:tab w:val="center" w:pos="4536"/>
        <w:tab w:val="right" w:pos="9072"/>
      </w:tabs>
      <w:spacing w:after="0" w:line="240" w:lineRule="auto"/>
    </w:pPr>
  </w:style>
  <w:style w:type="character" w:customStyle="1" w:styleId="ZpatChar">
    <w:name w:val="Zápatí Char"/>
    <w:basedOn w:val="Standardnpsmoodstavce"/>
    <w:link w:val="Zpat"/>
    <w:uiPriority w:val="99"/>
    <w:rsid w:val="0084360B"/>
  </w:style>
  <w:style w:type="table" w:styleId="Mkatabulky">
    <w:name w:val="Table Grid"/>
    <w:basedOn w:val="Normlntabulka"/>
    <w:uiPriority w:val="39"/>
    <w:rsid w:val="00B37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2" Type="http://schemas.openxmlformats.org/officeDocument/2006/relationships/hyperlink" Target="http://www.tabsg.cz" TargetMode="External"/><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D82DEF9C704A4E9C96E048E6A3BA1A" ma:contentTypeVersion="12" ma:contentTypeDescription="Vytvoří nový dokument" ma:contentTypeScope="" ma:versionID="04c8aef90504989af91609c0dd985231">
  <xsd:schema xmlns:xsd="http://www.w3.org/2001/XMLSchema" xmlns:xs="http://www.w3.org/2001/XMLSchema" xmlns:p="http://schemas.microsoft.com/office/2006/metadata/properties" xmlns:ns2="7803e69c-5415-4591-b8ae-71bb7104a04d" xmlns:ns3="90ec9e98-ce61-4a59-8ac9-be903057ca8d" targetNamespace="http://schemas.microsoft.com/office/2006/metadata/properties" ma:root="true" ma:fieldsID="da9576a3f52aae32b37494f3e6c2f5e4" ns2:_="" ns3:_="">
    <xsd:import namespace="7803e69c-5415-4591-b8ae-71bb7104a04d"/>
    <xsd:import namespace="90ec9e98-ce61-4a59-8ac9-be903057ca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3e69c-5415-4591-b8ae-71bb7104a0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27664ec-c970-43b8-8ba7-804d31b2d45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ec9e98-ce61-4a59-8ac9-be903057ca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119fd2-e209-4399-ac0f-af0dafe3a409}" ma:internalName="TaxCatchAll" ma:showField="CatchAllData" ma:web="90ec9e98-ce61-4a59-8ac9-be903057ca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0ec9e98-ce61-4a59-8ac9-be903057ca8d" xsi:nil="true"/>
    <lcf76f155ced4ddcb4097134ff3c332f xmlns="7803e69c-5415-4591-b8ae-71bb7104a0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3F395A-60AE-479B-A65E-976252BEAE75}"/>
</file>

<file path=customXml/itemProps2.xml><?xml version="1.0" encoding="utf-8"?>
<ds:datastoreItem xmlns:ds="http://schemas.openxmlformats.org/officeDocument/2006/customXml" ds:itemID="{A5F74551-7533-4B22-9648-456DBB16128D}"/>
</file>

<file path=customXml/itemProps3.xml><?xml version="1.0" encoding="utf-8"?>
<ds:datastoreItem xmlns:ds="http://schemas.openxmlformats.org/officeDocument/2006/customXml" ds:itemID="{B0319CB7-A4E3-4A94-BD39-DB79A4E99654}"/>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2063</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Uživatel</cp:lastModifiedBy>
  <cp:revision>2</cp:revision>
  <dcterms:created xsi:type="dcterms:W3CDTF">2024-08-27T10:30:00Z</dcterms:created>
  <dcterms:modified xsi:type="dcterms:W3CDTF">2024-08-27T10:30:00Z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0x0101007AD82DEF9C704A4E9C96E048E6A3BA1A</vt:lpwstr>
  </property>
</Properties>
</file>